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08a279bee503adcd6841aba32a61cbb1d77d8a"/>
    <w:p>
      <w:pPr>
        <w:pStyle w:val="Heading3"/>
      </w:pPr>
      <w:r>
        <w:t xml:space="preserve">Карта рисков нарушения антимонопольного законодательства</w:t>
      </w:r>
    </w:p>
    <w:p>
      <w:pPr>
        <w:pStyle w:val="FirstParagraph"/>
      </w:pPr>
      <w:r>
        <w:t xml:space="preserve">29.03.2019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jc w:val="left"/>
            </w:pPr>
            <w:r>
              <w:t xml:space="preserve">Уровень риска</w:t>
            </w:r>
          </w:p>
        </w:tc>
        <w:tc>
          <w:tcPr/>
          <w:p>
            <w:pPr>
              <w:jc w:val="left"/>
            </w:pPr>
            <w:r>
              <w:t xml:space="preserve">Вид риска (описание)</w:t>
            </w:r>
          </w:p>
        </w:tc>
        <w:tc>
          <w:tcPr/>
          <w:p>
            <w:pPr>
              <w:jc w:val="left"/>
            </w:pPr>
            <w:r>
              <w:t xml:space="preserve">Причины н условия возникновения (описание)</w:t>
            </w:r>
          </w:p>
        </w:tc>
        <w:tc>
          <w:tcPr/>
          <w:p>
            <w:pPr>
              <w:jc w:val="left"/>
            </w:pPr>
            <w:r>
              <w:t xml:space="preserve">Общие меры по минимизации и устранению рисков</w:t>
            </w:r>
          </w:p>
        </w:tc>
        <w:tc>
          <w:tcPr/>
          <w:p>
            <w:pPr>
              <w:jc w:val="left"/>
            </w:pPr>
            <w:r>
              <w:t xml:space="preserve">Наличие (отсутствие) остаточных рисков</w:t>
            </w:r>
          </w:p>
        </w:tc>
        <w:tc>
          <w:tcPr/>
          <w:p>
            <w:pPr>
              <w:jc w:val="left"/>
            </w:pPr>
            <w:r>
              <w:t xml:space="preserve">Вероятность повторного возникновения рисков</w:t>
            </w:r>
          </w:p>
        </w:tc>
      </w:tr>
      <w:tr>
        <w:tc>
          <w:tcPr/>
          <w:p>
            <w:pPr>
              <w:jc w:val="left"/>
            </w:pPr>
            <w:r>
              <w:t xml:space="preserve">низкий</w:t>
            </w:r>
          </w:p>
        </w:tc>
        <w:tc>
          <w:tcPr/>
          <w:p>
            <w:pPr>
              <w:jc w:val="left"/>
            </w:pPr>
            <w:r>
              <w:t xml:space="preserve">нарушение сроков оказания государственных</w:t>
            </w:r>
          </w:p>
          <w:p>
            <w:pPr>
              <w:jc w:val="left"/>
            </w:pPr>
            <w:r>
              <w:t xml:space="preserve">услуг</w:t>
            </w:r>
          </w:p>
        </w:tc>
        <w:tc>
          <w:tcPr/>
          <w:p>
            <w:pPr>
              <w:jc w:val="left"/>
            </w:pPr>
            <w:r>
              <w:t xml:space="preserve">риск не возникал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1. Анализ выявленных нарушений антимонопольного законодательства в деятельности управы района Силино города Москвы за предыдущие 3 года (наличие предостережений, предупреждений, штрафов, жалоб, возбужденных дел);</w:t>
            </w:r>
          </w:p>
          <w:p>
            <w:pPr>
              <w:jc w:val="left"/>
            </w:pPr>
            <w:r>
              <w:t xml:space="preserve">2. Анализ правовых актов управы района Силино города Москвы;</w:t>
            </w:r>
          </w:p>
          <w:p>
            <w:pPr>
              <w:jc w:val="left"/>
            </w:pPr>
            <w:r>
              <w:t xml:space="preserve">3. Анализ проектов правовых актов управы района Силино города Москвы; 4. Мониторинг и анализ практики применения антимонопольного законодательства;</w:t>
            </w:r>
          </w:p>
        </w:tc>
        <w:tc>
          <w:tcPr/>
          <w:p>
            <w:pPr>
              <w:jc w:val="left"/>
            </w:pPr>
            <w:r>
              <w:t xml:space="preserve">отсутствуют</w:t>
            </w:r>
          </w:p>
        </w:tc>
        <w:tc>
          <w:tcPr/>
          <w:p>
            <w:pPr>
              <w:jc w:val="left"/>
            </w:pPr>
            <w:r>
              <w:t xml:space="preserve">низкая</w:t>
            </w:r>
          </w:p>
        </w:tc>
      </w:tr>
      <w:tr>
        <w:tc>
          <w:tcPr/>
          <w:p>
            <w:pPr>
              <w:jc w:val="left"/>
            </w:pPr>
            <w:r>
              <w:t xml:space="preserve">низкий</w:t>
            </w:r>
          </w:p>
        </w:tc>
        <w:tc>
          <w:tcPr/>
          <w:p>
            <w:pPr>
              <w:jc w:val="left"/>
            </w:pPr>
            <w:r>
              <w:t xml:space="preserve">подготовка ответов на обращения физических и юридических лиц с нарушением срока, предусмотренного законодательством</w:t>
            </w:r>
          </w:p>
        </w:tc>
        <w:tc>
          <w:tcPr/>
          <w:p>
            <w:pPr>
              <w:jc w:val="left"/>
            </w:pPr>
            <w:r>
              <w:t xml:space="preserve">риск не возникал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отсутствуют</w:t>
            </w:r>
          </w:p>
        </w:tc>
        <w:tc>
          <w:tcPr/>
          <w:p>
            <w:pPr>
              <w:jc w:val="left"/>
            </w:pPr>
            <w:r>
              <w:t xml:space="preserve">низкая</w:t>
            </w:r>
          </w:p>
        </w:tc>
      </w:tr>
      <w:tr>
        <w:tc>
          <w:tcPr/>
          <w:p>
            <w:pPr>
              <w:jc w:val="left"/>
            </w:pPr>
            <w:r>
              <w:t xml:space="preserve">низкий</w:t>
            </w:r>
          </w:p>
        </w:tc>
        <w:tc>
          <w:tcPr/>
          <w:p>
            <w:pPr>
              <w:jc w:val="left"/>
            </w:pPr>
            <w:r>
              <w:t xml:space="preserve">нарушения при осуществлении закупок товаров, работ, услуг для обеспечения государственных нужд</w:t>
            </w:r>
          </w:p>
        </w:tc>
        <w:tc>
          <w:tcPr/>
          <w:p>
            <w:pPr>
              <w:jc w:val="left"/>
            </w:pPr>
            <w:r>
              <w:t xml:space="preserve">риск не возникал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отсутствуют</w:t>
            </w:r>
          </w:p>
        </w:tc>
        <w:tc>
          <w:tcPr/>
          <w:p>
            <w:pPr>
              <w:jc w:val="left"/>
            </w:pPr>
            <w:r>
              <w:t xml:space="preserve">низкая</w:t>
            </w:r>
          </w:p>
        </w:tc>
      </w:tr>
      <w:tr>
        <w:tc>
          <w:tcPr/>
          <w:p>
            <w:pPr>
              <w:jc w:val="left"/>
            </w:pPr>
            <w:r>
              <w:t xml:space="preserve">низкий</w:t>
            </w:r>
          </w:p>
        </w:tc>
        <w:tc>
          <w:tcPr/>
          <w:p>
            <w:pPr>
              <w:jc w:val="left"/>
            </w:pPr>
            <w:r>
              <w:t xml:space="preserve">согласование правовых актов и их проектов с нарушением регламентированных сроков</w:t>
            </w:r>
          </w:p>
        </w:tc>
        <w:tc>
          <w:tcPr/>
          <w:p>
            <w:pPr>
              <w:jc w:val="left"/>
            </w:pPr>
            <w:r>
              <w:t xml:space="preserve">риск не возникал</w:t>
            </w:r>
          </w:p>
        </w:tc>
        <w:tc>
          <w:tcPr/>
          <w:p>
            <w:pPr>
              <w:jc w:val="left"/>
            </w:pPr>
            <w:r>
              <w:t xml:space="preserve">5. 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</w:t>
            </w:r>
          </w:p>
        </w:tc>
        <w:tc>
          <w:tcPr/>
          <w:p>
            <w:pPr>
              <w:jc w:val="left"/>
            </w:pPr>
            <w:r>
              <w:t xml:space="preserve">отсутствуют</w:t>
            </w:r>
          </w:p>
        </w:tc>
        <w:tc>
          <w:tcPr/>
          <w:p>
            <w:pPr>
              <w:jc w:val="left"/>
            </w:pPr>
            <w:r>
              <w:t xml:space="preserve">низкая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http://silino.mos.ru/anti-corruption/plans-papers-reports-reviews-static-information-on-combating-corruption/detail/7985019.html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Силино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ilino.mos.ru" TargetMode="External" /><Relationship Type="http://schemas.openxmlformats.org/officeDocument/2006/relationships/hyperlink" Id="rId20" Target="http://silino.mos.ru/anti-corruption/plans-papers-reports-reviews-static-information-on-combating-corruption/detail/79850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ilino.mos.ru" TargetMode="External" /><Relationship Type="http://schemas.openxmlformats.org/officeDocument/2006/relationships/hyperlink" Id="rId20" Target="http://silino.mos.ru/anti-corruption/plans-papers-reports-reviews-static-information-on-combating-corruption/detail/79850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2025-02-10T18:34:22Z</dcterms:created>
  <dcterms:modified xsi:type="dcterms:W3CDTF">2025-02-10T18:34:22Z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