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солидарности-в-борьбе-с-терроризмом"/>
    <w:p>
      <w:pPr>
        <w:pStyle w:val="Heading3"/>
      </w:pPr>
      <w:r>
        <w:t xml:space="preserve">День солидарности в борьбе с терроризмом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67/5675675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2021 года, в рамках Дня солидарности в борьбе с терроризмом, ГБУ «Энергия» было организованно мероприятие, посвященное 17-й годовщине трагических событий в г. Беслан.</w:t>
      </w:r>
      <w:r>
        <w:br/>
      </w:r>
      <w:r>
        <w:t xml:space="preserve">Участникам акции был продемонстрирован мультипликационный видеоролик о солидарности в борьбе с терроризмом и мерами поведения при терактах. По традиции в память о погибших в небо были запущены белые воздушные шары.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http://silino.mos.ru/presscenter/news/detail/10243641.html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243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243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2025-07-19T11:56:07Z</dcterms:created>
  <dcterms:modified xsi:type="dcterms:W3CDTF">2025-07-19T11:56:07Z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