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86a72ce34f66bb319b947d63cc8c1c28a08a5"/>
    <w:p>
      <w:pPr>
        <w:pStyle w:val="Heading3"/>
      </w:pPr>
      <w:r>
        <w:t xml:space="preserve">В школе №853 прошли классные часы, посвященные трагедии в Беслане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82/v-shkole-_853-proshli-klassnye-chasy_-posvyashchennye-tragedii-v-beslane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всех классах школы №853 прошли классные часы, посвященные трагедии Беслана.</w:t>
      </w:r>
    </w:p>
    <w:p>
      <w:pPr>
        <w:pStyle w:val="BodyText"/>
      </w:pPr>
      <w:r>
        <w:t xml:space="preserve">Школьники вспоминали события 2004 года, когда 1 сентября группа вооруженных людей захватила школу №1 в городе Беслан в Северной Осетии, в 30 км от Владикавказа</w:t>
      </w:r>
    </w:p>
    <w:p>
      <w:pPr>
        <w:pStyle w:val="BodyText"/>
      </w:pPr>
      <w:r>
        <w:t xml:space="preserve">Школу захватили 17 террористов, среди которых были мужчины и женщины, снабженные поясами смертников. Захват учащихся школы произошел сразу после торжественной линейки, когда школьники зашли в помещение. На третий день после захвата заложников спецподразделения российской армии и ФСБ предприняли штурм здания школы. В результате штурма потери понесли как террористы, так и штурмующие. По официальным данным в результате террористического акта 1-3 сентября 2004 года в Беслане погибли 334 человека, из них 186 детей, 15 учителей, более 900 человек получили ранения. С тех пор 3 сентября по всей России вспоминают жертв Беслана.</w:t>
      </w:r>
    </w:p>
    <w:p>
      <w:pPr>
        <w:pStyle w:val="BodyText"/>
      </w:pPr>
      <w:r>
        <w:t xml:space="preserve">В этот день классные руководители подготовили для учащихся школы тематические материалы о трагедии Беслана в соответствии с возрастом участников беседы. Никто из ребят не остался равнодушным к тем далеким событиям. И общий вывод, который сделали дети – такая трагедия не должна повториться.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http://silino.mos.ru/presscenter/news/detail/10248490.html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248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0248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2024-01-23T12:53:11Z</dcterms:created>
  <dcterms:modified xsi:type="dcterms:W3CDTF">2024-01-23T12:53:11Z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