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e940ca83778406116173a6b49ff87dc9b06e0"/>
    <w:p>
      <w:pPr>
        <w:pStyle w:val="Heading3"/>
      </w:pPr>
      <w:r>
        <w:t xml:space="preserve">1 мая вступает в силу Закон города Москвы «Об установлении ограничений в сфере розничной продажи слабоалкогольных тонизирующих напитков»</w:t>
      </w:r>
    </w:p>
    <w:p>
      <w:pPr>
        <w:pStyle w:val="FirstParagraph"/>
      </w:pPr>
      <w:r>
        <w:t xml:space="preserve">21.04.2015</w:t>
      </w:r>
    </w:p>
    <w:p>
      <w:pPr>
        <w:pStyle w:val="BodyText"/>
      </w:pPr>
      <w:r>
        <w:t xml:space="preserve">1 мая 2015 года вступает в силу Закон города Москвы от 18.03.2015 № 11 «Об установлении ограничений в сфере розничной продажи слабоалкогольных тонизирующих напитков», в соответствии с которым на территории города Москвы не допускается розничная продажа алкогольной продукции с содержанием этилового спирта до 9 процентов объёма готовой продукции, содержащей кофеин или другой тонизирующий компонент.</w:t>
      </w:r>
    </w:p>
    <w:p>
      <w:pPr>
        <w:pStyle w:val="BodyText"/>
      </w:pPr>
      <w:r>
        <w:t xml:space="preserve">Под действие закона попадает вся алкогольная продукция с содержанием этилового спирта до 9 процентов объёма готовой продукции, содержащая кофеин или другой тонизирующий компонент, в том числе, слабоалкогольные тонизирующие напитки, винные и другие напитки, содержащие кофеин или другой тонизирующий компонент.</w:t>
      </w:r>
    </w:p>
    <w:p>
      <w:pPr>
        <w:pStyle w:val="BodyText"/>
      </w:pPr>
      <w:r>
        <w:t xml:space="preserve">За нарушение указанного закона юридические лица, индивидуальные предприниматели, а также должностные лица несут ответственность в соответствии с пунктом 3 статьи 14.16 Кодекса Российской Федерации об административных правонарушениях.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http://silino.mos.ru/presscenter/news/detail/1761803.html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7618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7618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2025-06-06T12:54:23Z</dcterms:created>
  <dcterms:modified xsi:type="dcterms:W3CDTF">2025-06-06T12:54:23Z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