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8721bf878a2a50e5c539cb6c925510a5e67ed"/>
    <w:p>
      <w:pPr>
        <w:pStyle w:val="Heading3"/>
      </w:pPr>
      <w:r>
        <w:t xml:space="preserve">Декларации об объеме розничной продажи алкогольной и спиртосодержащей продукции за 4 квартал 2015 года необходимо подать до 20 января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rPr>
          <w:bCs/>
          <w:b/>
        </w:rPr>
        <w:t xml:space="preserve">С 1 по 20 января 2016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4 квартал 2015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4 квартал 2015 года необходимо подать</w:t>
      </w:r>
      <w:r>
        <w:t xml:space="preserve"> </w:t>
      </w:r>
      <w:r>
        <w:rPr>
          <w:bCs/>
          <w:b/>
        </w:rPr>
        <w:t xml:space="preserve">до 20 января 2016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 Для производителей других государств — членов Таможенного союза, указывается регистрационные (идентификационные, учетные) номера налогоплательщиков.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принадлежности,</w:t>
      </w:r>
      <w:r>
        <w:t xml:space="preserve"> </w:t>
      </w: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http://silino.mos.ru/presscenter/news/detail/2428661.html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2428661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2428661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2025-08-05T18:14:34Z</dcterms:created>
  <dcterms:modified xsi:type="dcterms:W3CDTF">2025-08-05T18:14:34Z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