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1335588a67be8a250f9d75869484fb2ecb89"/>
    <w:p>
      <w:pPr>
        <w:pStyle w:val="Heading3"/>
      </w:pPr>
      <w:r>
        <w:t xml:space="preserve">О текущей ситуации в округе с 21 по 28 сентября 2020 года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t xml:space="preserve">За прошедшую неделю с 08:00 21 сентября 2020 года по 08:00 28 сентября 2020 года пожарно-спасательные подразделения на территории округа совершили 94 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4 раза:</w:t>
      </w:r>
    </w:p>
    <w:p>
      <w:pPr>
        <w:pStyle w:val="BodyText"/>
      </w:pPr>
      <w:r>
        <w:t xml:space="preserve">21 сентября у корп. 1102, произошло загорание мусора в контейнере на площади 6 м.кв.;</w:t>
      </w:r>
    </w:p>
    <w:p>
      <w:pPr>
        <w:pStyle w:val="BodyText"/>
      </w:pPr>
      <w:r>
        <w:t xml:space="preserve">23 сентября у корп. 1106, произошло загорание мусора в контейнере на площади 6 м.кв.</w:t>
      </w:r>
    </w:p>
    <w:p>
      <w:pPr>
        <w:pStyle w:val="BodyText"/>
      </w:pPr>
      <w:r>
        <w:t xml:space="preserve">24 сентября, ул. Алабушевская, вл. 23, СНТ «Киношник», произошло загорание деревянного строения на площади 24 кв.м., причина пожара устанавливается</w:t>
      </w:r>
    </w:p>
    <w:p>
      <w:pPr>
        <w:pStyle w:val="BodyText"/>
      </w:pPr>
      <w:r>
        <w:t xml:space="preserve">27 сентября у корп. 1624 произошло загорание мусора в мусорном контейнере на площади 6 м.кв.</w:t>
      </w:r>
    </w:p>
    <w:p>
      <w:pPr>
        <w:pStyle w:val="BodyText"/>
      </w:pPr>
      <w:r>
        <w:t xml:space="preserve">На ложное срабатывание АПС (ПАК «Стрелец-Мониторинг») 6 раз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в жилом секторе 6 раз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44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2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32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http://silino.mos.ru/security/mchs/info-moe/detail/9275635.html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75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75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2025-07-29T04:35:50Z</dcterms:created>
  <dcterms:modified xsi:type="dcterms:W3CDTF">2025-07-29T04:35:50Z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